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6.15999984741211"/>
          <w:szCs w:val="56.15999984741211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63.84000015258789"/>
          <w:szCs w:val="63.84000015258789"/>
          <w:highlight w:val="green"/>
          <w:u w:val="none"/>
          <w:vertAlign w:val="baseline"/>
          <w:rtl w:val="0"/>
        </w:rPr>
        <w:t xml:space="preserve">All Methods of Stunning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56.15999984741211"/>
          <w:szCs w:val="56.15999984741211"/>
          <w:highlight w:val="green"/>
          <w:u w:val="none"/>
          <w:vertAlign w:val="baseline"/>
          <w:rtl w:val="0"/>
        </w:rPr>
        <w:t xml:space="preserve">Definitely Unconscious – Also Applies to Religious Slaughter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3.20000076293945"/>
          <w:szCs w:val="43.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Absence of corneal reflex to touch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3.20000076293945"/>
          <w:szCs w:val="43.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Absence of eyelash reflex to touch 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3.20000076293945"/>
          <w:szCs w:val="43.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Absence of rhythmic breathing (do not confuse with gasping)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76" w:lineRule="auto"/>
        <w:ind w:left="0" w:right="0" w:firstLine="0"/>
        <w:jc w:val="center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3.20000076293945"/>
          <w:szCs w:val="43.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Absence of response to threat (menace) test – No touching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80"/>
          <w:szCs w:val="80"/>
          <w:u w:val="none"/>
          <w:shd w:fill="auto" w:val="clear"/>
          <w:vertAlign w:val="subscript"/>
          <w:rtl w:val="0"/>
        </w:rPr>
        <w:t xml:space="preserve">(Terlouw et al., 2016; Verhoeven, et al., 2016)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ALL of the above signs must be absent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4.4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• An additional sign of unconsciousness is a loose, floppy tongue that does not pull back when pulled on. (added by R. Quinn Henley, DVM, 2018) </w:t>
      </w:r>
    </w:p>
    <w:sectPr>
      <w:pgSz w:h="12240" w:w="15840"/>
      <w:pgMar w:bottom="720" w:top="72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